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5B28AC">
        <w:trPr>
          <w:trHeight w:val="2015"/>
        </w:trPr>
        <w:tc>
          <w:tcPr>
            <w:tcW w:w="3978" w:type="pct"/>
          </w:tcPr>
          <w:p w:rsidR="00337E63" w:rsidRDefault="00337E63" w:rsidP="00337E63">
            <w:pPr>
              <w:spacing w:before="120" w:after="120" w:line="240" w:lineRule="auto"/>
              <w:ind w:firstLine="0"/>
              <w:rPr>
                <w:b/>
                <w:i/>
                <w:color w:val="000000"/>
              </w:rPr>
            </w:pPr>
            <w:r w:rsidRPr="00337E63">
              <w:rPr>
                <w:b/>
                <w:i/>
                <w:color w:val="000000"/>
              </w:rPr>
              <w:t>1.1 Memoriu justificativ pentru proiectele care nu prevăd lucrări de construcții și/sau montaj. Acest document se va întocmi de catre toți solicitanții pentru proiectele care nu prevăd lucrări de construcții-montaj.</w:t>
            </w:r>
          </w:p>
          <w:p w:rsidR="00070804" w:rsidRPr="00337E63" w:rsidRDefault="00070804" w:rsidP="00337E63">
            <w:pPr>
              <w:spacing w:before="120" w:after="120" w:line="240" w:lineRule="auto"/>
              <w:ind w:firstLine="0"/>
              <w:rPr>
                <w:b/>
                <w:i/>
                <w:color w:val="000000"/>
              </w:rPr>
            </w:pPr>
          </w:p>
          <w:p w:rsidR="0015431E" w:rsidRPr="0015431E" w:rsidRDefault="00337E63" w:rsidP="00070804">
            <w:pPr>
              <w:spacing w:before="120" w:after="0" w:line="240" w:lineRule="auto"/>
              <w:ind w:firstLine="0"/>
              <w:rPr>
                <w:b/>
                <w:i/>
                <w:color w:val="000000"/>
              </w:rPr>
            </w:pPr>
            <w:r w:rsidRPr="00337E63">
              <w:rPr>
                <w:b/>
                <w:i/>
                <w:color w:val="000000"/>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u w:val="single"/>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lastRenderedPageBreak/>
              <w:t>5. Hotărârea Consiliului Local / Hot</w:t>
            </w:r>
            <w:r w:rsidR="00ED52CF">
              <w:rPr>
                <w:b/>
                <w:i/>
                <w:color w:val="000000"/>
              </w:rPr>
              <w:t>ărâ</w:t>
            </w:r>
            <w:r w:rsidRPr="00337E63">
              <w:rPr>
                <w:b/>
                <w:i/>
                <w:color w:val="000000"/>
              </w:rPr>
              <w:t>rile Consili</w:t>
            </w:r>
            <w:r w:rsidR="00ED52CF">
              <w:rPr>
                <w:b/>
                <w:i/>
                <w:color w:val="000000"/>
              </w:rPr>
              <w:t>ilor</w:t>
            </w:r>
            <w:r w:rsidRPr="00337E63">
              <w:rPr>
                <w:b/>
                <w:i/>
                <w:color w:val="000000"/>
              </w:rPr>
              <w:t xml:space="preserve"> Local</w:t>
            </w:r>
            <w:r w:rsidR="00ED52CF">
              <w:rPr>
                <w:b/>
                <w:i/>
                <w:color w:val="000000"/>
              </w:rPr>
              <w:t>e</w:t>
            </w:r>
            <w:r w:rsidRPr="00337E63">
              <w:rPr>
                <w:b/>
                <w:i/>
                <w:color w:val="000000"/>
              </w:rPr>
              <w:t xml:space="preserve"> în cazul ADI/Hot</w:t>
            </w:r>
            <w:r w:rsidR="00ED52CF">
              <w:rPr>
                <w:b/>
                <w:i/>
                <w:color w:val="000000"/>
              </w:rPr>
              <w:t>ă</w:t>
            </w:r>
            <w:r w:rsidRPr="00337E63">
              <w:rPr>
                <w:b/>
                <w:i/>
                <w:color w:val="000000"/>
              </w:rPr>
              <w:t>r</w:t>
            </w:r>
            <w:r w:rsidR="00ED52CF">
              <w:rPr>
                <w:b/>
                <w:i/>
                <w:color w:val="000000"/>
              </w:rPr>
              <w:t>â</w:t>
            </w:r>
            <w:r w:rsidRPr="00337E63">
              <w:rPr>
                <w:b/>
                <w:i/>
                <w:color w:val="000000"/>
              </w:rPr>
              <w:t>rea Adun</w:t>
            </w:r>
            <w:r w:rsidR="00ED52CF">
              <w:rPr>
                <w:b/>
                <w:i/>
                <w:color w:val="000000"/>
              </w:rPr>
              <w:t>ă</w:t>
            </w:r>
            <w:r w:rsidRPr="00337E63">
              <w:rPr>
                <w:b/>
                <w:i/>
                <w:color w:val="000000"/>
              </w:rPr>
              <w:t>rii General</w:t>
            </w:r>
            <w:r w:rsidR="00ED52CF">
              <w:rPr>
                <w:b/>
                <w:i/>
                <w:color w:val="000000"/>
              </w:rPr>
              <w:t>e</w:t>
            </w:r>
            <w:r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Pr="00602BEE" w:rsidRDefault="00337E63" w:rsidP="00ED52CF">
            <w:pPr>
              <w:spacing w:before="120" w:after="120" w:line="240" w:lineRule="auto"/>
              <w:ind w:firstLine="0"/>
              <w:rPr>
                <w:b/>
                <w:i/>
                <w:color w:val="000000"/>
              </w:rPr>
            </w:pPr>
            <w:r w:rsidRPr="00337E63">
              <w:rPr>
                <w:b/>
                <w:i/>
                <w:color w:val="000000"/>
              </w:rPr>
              <w:t>• angajamentul de asigurare a cofinanțării, dacă este cazul.</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6.1 Certificat de înregistrare fiscală</w:t>
            </w:r>
          </w:p>
          <w:p w:rsidR="00337E63" w:rsidRPr="00337E63" w:rsidRDefault="00337E63" w:rsidP="00337E63">
            <w:pPr>
              <w:spacing w:before="120" w:after="120" w:line="240" w:lineRule="auto"/>
              <w:ind w:firstLine="0"/>
              <w:rPr>
                <w:b/>
                <w:i/>
                <w:color w:val="000000"/>
              </w:rPr>
            </w:pPr>
            <w:r w:rsidRPr="00337E63">
              <w:rPr>
                <w:b/>
                <w:i/>
                <w:color w:val="000000"/>
              </w:rPr>
              <w:t>6.2.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337E63" w:rsidP="00337E63">
            <w:pPr>
              <w:spacing w:before="120" w:after="120" w:line="240" w:lineRule="auto"/>
              <w:ind w:firstLine="0"/>
              <w:rPr>
                <w:b/>
                <w:i/>
                <w:color w:val="000000"/>
              </w:rPr>
            </w:pPr>
            <w:r w:rsidRPr="00337E63">
              <w:rPr>
                <w:b/>
                <w:i/>
                <w:color w:val="000000"/>
              </w:rPr>
              <w:t>6.2.1.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5B28AC">
        <w:trPr>
          <w:trHeight w:val="431"/>
        </w:trPr>
        <w:tc>
          <w:tcPr>
            <w:tcW w:w="3978" w:type="pct"/>
          </w:tcPr>
          <w:p w:rsidR="00B87B8E" w:rsidRPr="0015431E" w:rsidRDefault="00337E63" w:rsidP="00B87B8E">
            <w:pPr>
              <w:spacing w:before="120" w:after="120" w:line="240" w:lineRule="auto"/>
              <w:ind w:firstLine="0"/>
              <w:rPr>
                <w:b/>
                <w:i/>
                <w:color w:val="000000"/>
              </w:rPr>
            </w:pPr>
            <w:r w:rsidRPr="00337E63">
              <w:rPr>
                <w:b/>
                <w:i/>
                <w:color w:val="000000"/>
              </w:rPr>
              <w:t>10.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05959" w:rsidRPr="0015431E" w:rsidTr="00105959">
        <w:trPr>
          <w:trHeight w:val="431"/>
        </w:trPr>
        <w:tc>
          <w:tcPr>
            <w:tcW w:w="3978" w:type="pct"/>
          </w:tcPr>
          <w:p w:rsidR="00105959" w:rsidRPr="00337E63" w:rsidRDefault="00105959" w:rsidP="00105959">
            <w:pPr>
              <w:ind w:firstLine="0"/>
              <w:rPr>
                <w:b/>
                <w:i/>
                <w:color w:val="000000"/>
              </w:rPr>
            </w:pPr>
            <w:bookmarkStart w:id="0" w:name="_GoBack" w:colFirst="1" w:colLast="3"/>
            <w:r w:rsidRPr="00105959">
              <w:rPr>
                <w:b/>
                <w:i/>
                <w:color w:val="000000"/>
              </w:rPr>
              <w:t>12. Avizul de conformitate al Operatorului Regional/ local</w:t>
            </w:r>
          </w:p>
        </w:tc>
        <w:tc>
          <w:tcPr>
            <w:tcW w:w="291" w:type="pct"/>
          </w:tcPr>
          <w:p w:rsidR="00105959" w:rsidRPr="0015431E" w:rsidRDefault="00105959" w:rsidP="00A67052">
            <w:pPr>
              <w:spacing w:before="120" w:after="120" w:line="240" w:lineRule="auto"/>
              <w:ind w:firstLine="0"/>
              <w:rPr>
                <w:b/>
                <w:i/>
                <w:color w:val="000000"/>
              </w:rPr>
            </w:pPr>
            <w:r w:rsidRPr="0015431E">
              <w:rPr>
                <w:b/>
                <w:i/>
                <w:color w:val="000000"/>
              </w:rPr>
              <w:sym w:font="Wingdings" w:char="F06F"/>
            </w:r>
          </w:p>
        </w:tc>
        <w:tc>
          <w:tcPr>
            <w:tcW w:w="348" w:type="pct"/>
          </w:tcPr>
          <w:p w:rsidR="00105959" w:rsidRPr="0015431E" w:rsidRDefault="00105959" w:rsidP="00A67052">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05959" w:rsidRPr="0015431E" w:rsidRDefault="00105959" w:rsidP="00A67052">
            <w:pPr>
              <w:spacing w:before="120" w:after="120" w:line="240" w:lineRule="auto"/>
              <w:ind w:firstLine="0"/>
              <w:rPr>
                <w:b/>
                <w:i/>
                <w:color w:val="000000"/>
              </w:rPr>
            </w:pPr>
            <w:r w:rsidRPr="0015431E">
              <w:rPr>
                <w:b/>
                <w:i/>
                <w:color w:val="000000"/>
              </w:rPr>
              <w:sym w:font="Wingdings" w:char="F06F"/>
            </w:r>
          </w:p>
        </w:tc>
      </w:tr>
      <w:bookmarkEnd w:id="0"/>
      <w:tr w:rsidR="0015431E" w:rsidRPr="0015431E" w:rsidTr="00B87B8E">
        <w:trPr>
          <w:trHeight w:val="1404"/>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105959">
              <w:rPr>
                <w:b/>
                <w:i/>
                <w:color w:val="000000"/>
              </w:rPr>
              <w:t>3</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105959">
              <w:rPr>
                <w:b/>
                <w:i/>
                <w:color w:val="000000"/>
              </w:rPr>
              <w:t>3</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105959">
              <w:rPr>
                <w:b/>
                <w:i/>
                <w:color w:val="000000"/>
              </w:rPr>
              <w:t>3</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105959">
            <w:pPr>
              <w:spacing w:before="120" w:after="120" w:line="240" w:lineRule="auto"/>
              <w:ind w:firstLine="0"/>
              <w:rPr>
                <w:b/>
                <w:i/>
                <w:color w:val="000000"/>
              </w:rPr>
            </w:pPr>
            <w:r w:rsidRPr="00070804">
              <w:rPr>
                <w:b/>
                <w:i/>
                <w:color w:val="000000"/>
              </w:rPr>
              <w:t>1</w:t>
            </w:r>
            <w:r w:rsidR="00105959">
              <w:rPr>
                <w:b/>
                <w:i/>
                <w:color w:val="000000"/>
              </w:rPr>
              <w:t>3</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105959">
            <w:pPr>
              <w:spacing w:before="120" w:after="120" w:line="240" w:lineRule="auto"/>
              <w:ind w:firstLine="0"/>
              <w:rPr>
                <w:b/>
                <w:i/>
                <w:color w:val="000000"/>
              </w:rPr>
            </w:pPr>
            <w:r w:rsidRPr="00070804">
              <w:rPr>
                <w:b/>
                <w:i/>
                <w:color w:val="000000"/>
              </w:rPr>
              <w:t>1</w:t>
            </w:r>
            <w:r w:rsidR="00105959">
              <w:rPr>
                <w:b/>
                <w:i/>
                <w:color w:val="000000"/>
              </w:rPr>
              <w:t>5</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105959">
            <w:pPr>
              <w:spacing w:before="120" w:after="120" w:line="240" w:lineRule="auto"/>
              <w:ind w:firstLine="0"/>
              <w:rPr>
                <w:b/>
                <w:i/>
                <w:color w:val="000000"/>
              </w:rPr>
            </w:pPr>
            <w:r w:rsidRPr="00070804">
              <w:rPr>
                <w:b/>
                <w:i/>
                <w:color w:val="000000"/>
              </w:rPr>
              <w:t>1</w:t>
            </w:r>
            <w:r w:rsidR="00105959">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lastRenderedPageBreak/>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B28AC" w:rsidRDefault="005B28AC"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5B28AC" w:rsidRDefault="005B28AC"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FF1154">
              <w:t>Investiția în infrastructura de apă/ apă uzată trebuie să fie focusată pe implementarea de soluții alternative branșării la sistemul de alimentare cu apă, respectiv implementarea de soluții alternative racordării la sistemul de canalizare.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EG4.</w:t>
            </w:r>
            <w:r>
              <w:t xml:space="preserve"> </w:t>
            </w:r>
            <w:r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EG5.</w:t>
            </w:r>
            <w:r>
              <w:t xml:space="preserve"> </w:t>
            </w:r>
            <w:r w:rsidRPr="00FF1154">
              <w:t>Investiția trebuie sa fie în conformitate cu planurile de dezvoltare ale comunelor sau să fie coerentă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EG6.</w:t>
            </w:r>
            <w:r>
              <w:t xml:space="preserve"> </w:t>
            </w:r>
            <w:r w:rsidRPr="00D85720">
              <w:t xml:space="preserve">Solicitantul trebuie să respecte valoarea totală/proiect </w:t>
            </w:r>
            <w:r>
              <w:t>ș</w:t>
            </w:r>
            <w:r w:rsidRPr="00D85720">
              <w:t>i rata sprijinului pentru fiecare tip de beneficiar.</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EG7.</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overflowPunct w:val="0"/>
              <w:autoSpaceDE w:val="0"/>
              <w:autoSpaceDN w:val="0"/>
              <w:adjustRightInd w:val="0"/>
              <w:spacing w:before="120" w:after="120" w:line="240" w:lineRule="auto"/>
              <w:ind w:firstLine="0"/>
              <w:textAlignment w:val="baseline"/>
              <w:rPr>
                <w:rFonts w:cs="Times New Roman"/>
              </w:rPr>
            </w:pPr>
            <w:r w:rsidRPr="007E0159">
              <w:rPr>
                <w:b/>
              </w:rPr>
              <w:t>EG8.</w:t>
            </w:r>
            <w:r>
              <w:t xml:space="preserve"> Investițiile și serviciile</w:t>
            </w:r>
            <w:r w:rsidRPr="007E0159">
              <w:t xml:space="preserve"> trebuie să demonstreze necesitatea, </w:t>
            </w:r>
            <w:r w:rsidRPr="007E0159">
              <w:lastRenderedPageBreak/>
              <w:t xml:space="preserve">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lastRenderedPageBreak/>
              <w:t>EG9.</w:t>
            </w:r>
            <w:r w:rsidRPr="007E0159">
              <w:t xml:space="preserve"> 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EG10.</w:t>
            </w:r>
            <w:r>
              <w:t xml:space="preserve"> </w:t>
            </w:r>
            <w:r w:rsidRPr="007E0159">
              <w:t>Proiectul de investiţii în infrastructura de apă/ apă uzată trebuie să deţină avizul Operatorului Regional/ Local ce atestă funcţionalitatea sistemului şi conformitatea pentru soluţia de funcţionare.</w:t>
            </w:r>
            <w:r w:rsidRPr="007E0159">
              <w:rPr>
                <w:i/>
              </w:rP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EG11.</w:t>
            </w:r>
            <w:r>
              <w:t xml:space="preserve"> </w:t>
            </w:r>
            <w:r w:rsidRPr="00970D9D">
              <w:t>Investiția în sistemul de alimentare cu apă trebuie să se realizeze în mod obligatoriu împreună cu rețeaua de apă uzată, dacă aceasta nu există.</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EG12</w:t>
            </w:r>
            <w:r>
              <w:t xml:space="preserve">. </w:t>
            </w:r>
            <w:r w:rsidRPr="00970D9D">
              <w:t>Solicitantul investiţiilor trebuie să facă dovada proprietății terenului/ administrării în cazul domeniului public al statului</w:t>
            </w:r>
            <w: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w:t>
            </w:r>
            <w:r w:rsidR="00DF7D6C" w:rsidRPr="00DF7D6C">
              <w:rPr>
                <w:rFonts w:cs="Times New Roman"/>
              </w:rPr>
              <w:t xml:space="preserve"> </w:t>
            </w:r>
            <w:r w:rsidRPr="00DF7D6C">
              <w:rPr>
                <w:rFonts w:cs="Times New Roman"/>
              </w:rPr>
              <w:t>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Default="006C6ADD" w:rsidP="00CB172D">
      <w:pPr>
        <w:ind w:firstLine="0"/>
        <w:rPr>
          <w:b/>
        </w:rPr>
      </w:pP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lastRenderedPageBreak/>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B28AC" w:rsidRDefault="005B28AC"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5B28AC" w:rsidRDefault="005B28AC"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D14148">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0B45FC" w:rsidRPr="00D14148" w:rsidRDefault="008C2881" w:rsidP="00D14148">
      <w:pPr>
        <w:pStyle w:val="ListParagraph"/>
        <w:numPr>
          <w:ilvl w:val="0"/>
          <w:numId w:val="37"/>
        </w:numPr>
      </w:pPr>
      <w:r w:rsidRPr="00D27AE3">
        <w:rPr>
          <w:rFonts w:cs="Times New Roman"/>
          <w:szCs w:val="24"/>
        </w:rPr>
        <w:t>CS5. Proiecte care vizează comunități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B45FC">
        <w:trPr>
          <w:trHeight w:val="352"/>
        </w:trPr>
        <w:tc>
          <w:tcPr>
            <w:tcW w:w="914" w:type="dxa"/>
          </w:tcPr>
          <w:p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42224B" w:rsidP="0042224B">
            <w:pPr>
              <w:spacing w:after="120"/>
              <w:ind w:firstLine="0"/>
              <w:rPr>
                <w:rFonts w:cs="Times New Roman"/>
                <w:b/>
                <w:szCs w:val="24"/>
              </w:rPr>
            </w:pPr>
            <w:r w:rsidRPr="0042224B">
              <w:rPr>
                <w:rFonts w:cs="Times New Roman"/>
                <w:szCs w:val="24"/>
              </w:rPr>
              <w:t>Proiecte care au în componenţă aspecte legate de mediu și climă</w:t>
            </w:r>
          </w:p>
        </w:tc>
        <w:tc>
          <w:tcPr>
            <w:tcW w:w="1655" w:type="dxa"/>
          </w:tcPr>
          <w:p w:rsidR="000B45FC" w:rsidRPr="0042224B" w:rsidRDefault="0042224B" w:rsidP="0042224B">
            <w:pPr>
              <w:spacing w:after="120"/>
              <w:ind w:firstLine="0"/>
              <w:jc w:val="center"/>
              <w:rPr>
                <w:rFonts w:cs="Times New Roman"/>
                <w:szCs w:val="24"/>
              </w:rPr>
            </w:pPr>
            <w:r w:rsidRPr="0042224B">
              <w:rPr>
                <w:rFonts w:cs="Times New Roman"/>
                <w:szCs w:val="24"/>
              </w:rPr>
              <w:t>20</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60"/>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rsidR="000B45FC" w:rsidRPr="0042224B" w:rsidRDefault="0042224B" w:rsidP="0042224B">
            <w:pPr>
              <w:ind w:firstLine="0"/>
              <w:rPr>
                <w:rFonts w:cs="Times New Roman"/>
              </w:rPr>
            </w:pPr>
            <w:r w:rsidRPr="0042224B">
              <w:rPr>
                <w:rFonts w:cs="Times New Roman"/>
                <w:szCs w:val="24"/>
              </w:rPr>
              <w:t>Caracterul inovativ al proiectului</w:t>
            </w:r>
          </w:p>
        </w:tc>
        <w:tc>
          <w:tcPr>
            <w:tcW w:w="1655" w:type="dxa"/>
          </w:tcPr>
          <w:p w:rsidR="000B45FC" w:rsidRPr="0042224B" w:rsidRDefault="0042224B" w:rsidP="0042224B">
            <w:pPr>
              <w:spacing w:after="120"/>
              <w:ind w:firstLine="0"/>
              <w:jc w:val="center"/>
              <w:rPr>
                <w:rFonts w:cs="Times New Roman"/>
                <w:szCs w:val="24"/>
              </w:rPr>
            </w:pPr>
            <w:r w:rsidRPr="0042224B">
              <w:rPr>
                <w:rFonts w:cs="Times New Roman"/>
                <w:szCs w:val="24"/>
              </w:rPr>
              <w:t>25p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87"/>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rsidR="000B45FC" w:rsidRPr="0042224B" w:rsidRDefault="0042224B" w:rsidP="000B45FC">
            <w:pPr>
              <w:spacing w:after="120"/>
              <w:ind w:firstLine="0"/>
              <w:rPr>
                <w:rFonts w:cs="Times New Roman"/>
                <w:b/>
                <w:szCs w:val="24"/>
              </w:rPr>
            </w:pPr>
            <w:r w:rsidRPr="0042224B">
              <w:rPr>
                <w:rFonts w:cs="Times New Roman"/>
                <w:szCs w:val="24"/>
              </w:rPr>
              <w:t>Transfer de noi procese sau tehnologii</w:t>
            </w:r>
          </w:p>
        </w:tc>
        <w:tc>
          <w:tcPr>
            <w:tcW w:w="1655" w:type="dxa"/>
          </w:tcPr>
          <w:p w:rsidR="000B45FC" w:rsidRPr="0042224B" w:rsidRDefault="0042224B" w:rsidP="0042224B">
            <w:pPr>
              <w:spacing w:after="120"/>
              <w:ind w:firstLine="0"/>
              <w:jc w:val="center"/>
              <w:rPr>
                <w:rFonts w:cs="Times New Roman"/>
                <w:szCs w:val="24"/>
              </w:rPr>
            </w:pPr>
            <w:r>
              <w:rPr>
                <w:rFonts w:cs="Times New Roman"/>
                <w:szCs w:val="24"/>
              </w:rPr>
              <w:t>25p</w:t>
            </w:r>
          </w:p>
        </w:tc>
        <w:tc>
          <w:tcPr>
            <w:tcW w:w="1356" w:type="dxa"/>
            <w:hideMark/>
          </w:tcPr>
          <w:p w:rsidR="000B45FC" w:rsidRPr="0042224B" w:rsidRDefault="000B45FC" w:rsidP="000B45FC">
            <w:pPr>
              <w:spacing w:after="120"/>
              <w:rPr>
                <w:rFonts w:cs="Times New Roman"/>
                <w:szCs w:val="24"/>
              </w:rPr>
            </w:pPr>
          </w:p>
        </w:tc>
      </w:tr>
      <w:tr w:rsidR="000B45FC" w:rsidRPr="0042224B" w:rsidTr="000B45FC">
        <w:trPr>
          <w:trHeight w:val="37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rsidR="000B45FC" w:rsidRPr="0042224B" w:rsidRDefault="0042224B" w:rsidP="0042224B">
            <w:pPr>
              <w:spacing w:after="120"/>
              <w:ind w:firstLine="0"/>
              <w:rPr>
                <w:rFonts w:cs="Times New Roman"/>
                <w:szCs w:val="24"/>
              </w:rPr>
            </w:pPr>
            <w:r w:rsidRPr="0042224B">
              <w:rPr>
                <w:rFonts w:cs="Times New Roman"/>
                <w:szCs w:val="24"/>
              </w:rPr>
              <w:t>Proiecte care vizează comunități segregate</w:t>
            </w:r>
          </w:p>
        </w:tc>
        <w:tc>
          <w:tcPr>
            <w:tcW w:w="1655" w:type="dxa"/>
          </w:tcPr>
          <w:p w:rsidR="000B45FC" w:rsidRPr="0042224B" w:rsidRDefault="0042224B" w:rsidP="0042224B">
            <w:pPr>
              <w:spacing w:after="120"/>
              <w:ind w:firstLine="0"/>
              <w:jc w:val="center"/>
              <w:rPr>
                <w:rFonts w:cs="Times New Roman"/>
                <w:szCs w:val="24"/>
              </w:rPr>
            </w:pPr>
            <w:r>
              <w:rPr>
                <w:rFonts w:cs="Times New Roman"/>
                <w:szCs w:val="24"/>
              </w:rPr>
              <w:t>10p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40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rsidR="0042224B" w:rsidRPr="0042224B" w:rsidRDefault="0042224B" w:rsidP="0042224B">
            <w:pPr>
              <w:ind w:firstLine="0"/>
              <w:rPr>
                <w:rFonts w:cs="Times New Roman"/>
              </w:rPr>
            </w:pPr>
            <w:r w:rsidRPr="0042224B">
              <w:rPr>
                <w:rFonts w:cs="Times New Roman"/>
                <w:szCs w:val="24"/>
              </w:rPr>
              <w:t>Proiecte care vizează comunități cu risc crescut de sărăcie</w:t>
            </w:r>
          </w:p>
          <w:p w:rsidR="0042224B" w:rsidRPr="0042224B" w:rsidRDefault="0042224B" w:rsidP="0042224B">
            <w:pPr>
              <w:ind w:firstLine="0"/>
              <w:rPr>
                <w:rFonts w:cs="Times New Roman"/>
                <w:i/>
                <w:szCs w:val="24"/>
              </w:rPr>
            </w:pPr>
            <w:r w:rsidRPr="0042224B">
              <w:rPr>
                <w:rFonts w:cs="Times New Roman"/>
                <w:i/>
                <w:szCs w:val="24"/>
              </w:rPr>
              <w:t>Localităţi rurale cu grad de sărăcie ridicat:</w:t>
            </w:r>
          </w:p>
          <w:p w:rsidR="0042224B" w:rsidRPr="0042224B" w:rsidRDefault="0042224B" w:rsidP="0042224B">
            <w:pPr>
              <w:ind w:firstLine="0"/>
              <w:jc w:val="center"/>
              <w:rPr>
                <w:rFonts w:cs="Times New Roman"/>
                <w:i/>
                <w:szCs w:val="24"/>
              </w:rPr>
            </w:pPr>
            <w:r w:rsidRPr="0042224B">
              <w:rPr>
                <w:rFonts w:cs="Times New Roman"/>
                <w:i/>
                <w:szCs w:val="24"/>
              </w:rPr>
              <w:lastRenderedPageBreak/>
              <w:t>- localităţi cu grad de sărăcie ridicat (rata sărăcie 60%-89,6%)</w:t>
            </w:r>
          </w:p>
          <w:p w:rsidR="0042224B" w:rsidRPr="0042224B" w:rsidRDefault="0042224B" w:rsidP="0042224B">
            <w:pPr>
              <w:ind w:firstLine="0"/>
              <w:jc w:val="center"/>
              <w:rPr>
                <w:rFonts w:cs="Times New Roman"/>
                <w:i/>
                <w:szCs w:val="24"/>
              </w:rPr>
            </w:pPr>
            <w:r w:rsidRPr="0042224B">
              <w:rPr>
                <w:rFonts w:cs="Times New Roman"/>
                <w:i/>
                <w:szCs w:val="24"/>
              </w:rPr>
              <w:t>- localităţi cu grad de sărăcie mediu (rata sărăcie 40%-59,9%)</w:t>
            </w:r>
          </w:p>
          <w:p w:rsidR="000B45FC" w:rsidRPr="0042224B" w:rsidRDefault="0042224B" w:rsidP="0042224B">
            <w:pPr>
              <w:spacing w:after="120"/>
              <w:ind w:firstLine="0"/>
              <w:rPr>
                <w:rFonts w:cs="Times New Roman"/>
                <w:b/>
                <w:szCs w:val="24"/>
              </w:rPr>
            </w:pPr>
            <w:r w:rsidRPr="0042224B">
              <w:rPr>
                <w:rFonts w:cs="Times New Roman"/>
                <w:i/>
                <w:szCs w:val="24"/>
              </w:rPr>
              <w:t>- localităţi cu grad de sărăcie scăzut (rata sărăcie &lt;40%)</w:t>
            </w:r>
          </w:p>
        </w:tc>
        <w:tc>
          <w:tcPr>
            <w:tcW w:w="1655" w:type="dxa"/>
          </w:tcPr>
          <w:p w:rsidR="000B45FC" w:rsidRDefault="0042224B" w:rsidP="0042224B">
            <w:pPr>
              <w:spacing w:after="120"/>
              <w:ind w:firstLine="0"/>
              <w:jc w:val="center"/>
              <w:rPr>
                <w:rFonts w:cs="Times New Roman"/>
                <w:szCs w:val="24"/>
              </w:rPr>
            </w:pPr>
            <w:r w:rsidRPr="0042224B">
              <w:rPr>
                <w:rFonts w:cs="Times New Roman"/>
                <w:szCs w:val="24"/>
              </w:rPr>
              <w:lastRenderedPageBreak/>
              <w:t>Max 20p</w:t>
            </w: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r>
              <w:rPr>
                <w:rFonts w:cs="Times New Roman"/>
                <w:szCs w:val="24"/>
              </w:rPr>
              <w:lastRenderedPageBreak/>
              <w:t>20p</w:t>
            </w: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r>
              <w:rPr>
                <w:rFonts w:cs="Times New Roman"/>
                <w:szCs w:val="24"/>
              </w:rPr>
              <w:t>15p</w:t>
            </w:r>
          </w:p>
          <w:p w:rsidR="0042224B" w:rsidRDefault="0042224B" w:rsidP="0042224B">
            <w:pPr>
              <w:spacing w:after="120"/>
              <w:ind w:firstLine="0"/>
              <w:jc w:val="center"/>
              <w:rPr>
                <w:rFonts w:cs="Times New Roman"/>
                <w:szCs w:val="24"/>
              </w:rPr>
            </w:pPr>
          </w:p>
          <w:p w:rsidR="0042224B" w:rsidRPr="0042224B" w:rsidRDefault="0042224B" w:rsidP="0042224B">
            <w:pPr>
              <w:spacing w:after="120"/>
              <w:ind w:firstLine="0"/>
              <w:jc w:val="center"/>
              <w:rPr>
                <w:rFonts w:cs="Times New Roman"/>
                <w:szCs w:val="24"/>
              </w:rPr>
            </w:pPr>
            <w:r>
              <w:rPr>
                <w:rFonts w:cs="Times New Roman"/>
                <w:szCs w:val="24"/>
              </w:rPr>
              <w:t>10p</w:t>
            </w:r>
          </w:p>
        </w:tc>
        <w:tc>
          <w:tcPr>
            <w:tcW w:w="1356" w:type="dxa"/>
            <w:hideMark/>
          </w:tcPr>
          <w:p w:rsidR="000B45FC" w:rsidRPr="0042224B" w:rsidRDefault="000B45F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B28AC" w:rsidRDefault="005B28AC"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5B28AC" w:rsidRDefault="005B28AC"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lastRenderedPageBreak/>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lastRenderedPageBreak/>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lastRenderedPageBreak/>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lastRenderedPageBreak/>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Memoriu Justificativ </w:t>
            </w:r>
          </w:p>
          <w:p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Pr="00077B1B">
        <w:rPr>
          <w:b/>
        </w:rPr>
        <w:t>Investiția în infrastructura de apă/ apă uzată trebuie să fie focusată pe implementarea de soluții alternative branșării la sistemul de alimentare cu apă, respectiv implementarea de soluții alternative racordării la sistemul de canalizare.</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077B1B">
            <w:pPr>
              <w:tabs>
                <w:tab w:val="left" w:pos="-70"/>
                <w:tab w:val="center" w:pos="4680"/>
                <w:tab w:val="right" w:pos="9360"/>
              </w:tabs>
              <w:spacing w:before="120" w:after="120" w:line="240" w:lineRule="auto"/>
              <w:ind w:firstLine="0"/>
              <w:jc w:val="left"/>
              <w:rPr>
                <w:color w:val="FF0000"/>
              </w:rPr>
            </w:pPr>
            <w:r w:rsidRPr="00594D62">
              <w:t>Studiul de Fezabilitate/</w:t>
            </w:r>
            <w:r w:rsidR="00077B1B">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594D62" w:rsidRPr="00077B1B" w:rsidRDefault="00077B1B" w:rsidP="00077B1B">
            <w:pPr>
              <w:spacing w:before="120" w:after="120" w:line="240" w:lineRule="auto"/>
              <w:rPr>
                <w:i/>
              </w:rPr>
            </w:pPr>
            <w:r w:rsidRPr="00077B1B">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focusată pe implementarea de soluții alternative branșării la sistemul de alimentare cu apă, respectiv implementarea de soluții alternative racordării la sistemul de canalizare,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focusată pe implementarea de soluții alternative branșării la sistemul de alimentare cu apă, respectiv implementarea de soluții alternative racordării la sistemul de canalizare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Investiția în infrastructura de apă/ apă uzată trebuie sa fie amplasată în localităţi cu aglomerări umane sub 2.000 de locuitori echivalenți, pe baza unei justificări </w:t>
      </w:r>
      <w:r w:rsidRPr="00077B1B">
        <w:rPr>
          <w:b/>
        </w:rPr>
        <w:lastRenderedPageBreak/>
        <w:t xml:space="preserve">tehnice și economice întemeiate, doar pentru sistemele centralizate, excluzând sistemele de tratare individuale.  </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077B1B">
            <w:pPr>
              <w:tabs>
                <w:tab w:val="left" w:pos="-70"/>
                <w:tab w:val="center" w:pos="4680"/>
                <w:tab w:val="right" w:pos="9360"/>
              </w:tabs>
              <w:spacing w:before="120" w:after="120" w:line="240" w:lineRule="auto"/>
              <w:ind w:firstLine="0"/>
              <w:jc w:val="left"/>
              <w:rPr>
                <w:color w:val="FF0000"/>
              </w:rPr>
            </w:pPr>
            <w:r w:rsidRPr="00594D62">
              <w:t>Studiul de Fezabilitate/</w:t>
            </w:r>
            <w:r>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077B1B">
            <w:pPr>
              <w:spacing w:before="120" w:after="120" w:line="240" w:lineRule="auto"/>
              <w:rPr>
                <w:i/>
              </w:rPr>
            </w:pPr>
            <w:r w:rsidRPr="00077B1B">
              <w:rPr>
                <w:i/>
              </w:rPr>
              <w:t xml:space="preserve">Se va verifica dacă Investiția în infrastructura de apă/ apă uzată </w:t>
            </w:r>
            <w:r>
              <w:rPr>
                <w:i/>
              </w:rPr>
              <w:t>este</w:t>
            </w:r>
            <w:r w:rsidRPr="00077B1B">
              <w:rPr>
                <w:i/>
              </w:rPr>
              <w:t xml:space="preserve"> amplasată în localităţi cu aglomerări umane sub 2.000 de locuitori echivalenți, pe baza unei justificări tehnice și economice întemeiate, doar pentru sistemele centralizate, excluzând sistemele de tratare individuale.  </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ind w:firstLine="0"/>
        <w:rPr>
          <w:b/>
        </w:rPr>
      </w:pPr>
      <w:r>
        <w:rPr>
          <w:b/>
        </w:rPr>
        <w:tab/>
      </w:r>
      <w:r>
        <w:rPr>
          <w:b/>
        </w:rPr>
        <w:tab/>
      </w:r>
      <w:r w:rsidRPr="00077B1B">
        <w:rPr>
          <w:b/>
        </w:rPr>
        <w:t>EG5. Investiția trebuie sa fie în conformitate cu planurile de dezvoltare ale comunelor sau să fie coerentă cu orice strategie de dezvoltare locală relevantă.</w:t>
      </w:r>
    </w:p>
    <w:p w:rsidR="00F25924" w:rsidRPr="00077B1B"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Default="00077B1B" w:rsidP="00C92DD3">
            <w:pPr>
              <w:tabs>
                <w:tab w:val="left" w:pos="-70"/>
                <w:tab w:val="center" w:pos="4680"/>
                <w:tab w:val="right" w:pos="9360"/>
              </w:tabs>
              <w:spacing w:before="120" w:after="120" w:line="240" w:lineRule="auto"/>
              <w:ind w:firstLine="0"/>
              <w:jc w:val="left"/>
            </w:pPr>
            <w:r>
              <w:t>E</w:t>
            </w:r>
            <w:r w:rsidRPr="00077B1B">
              <w:t>xtrasul din strategie</w:t>
            </w:r>
          </w:p>
          <w:p w:rsidR="00077B1B" w:rsidRPr="00AA598F" w:rsidRDefault="00077B1B" w:rsidP="00C92DD3">
            <w:pPr>
              <w:tabs>
                <w:tab w:val="left" w:pos="-70"/>
                <w:tab w:val="center" w:pos="4680"/>
                <w:tab w:val="right" w:pos="9360"/>
              </w:tabs>
              <w:spacing w:before="120" w:after="120" w:line="240" w:lineRule="auto"/>
              <w:ind w:firstLine="0"/>
              <w:jc w:val="left"/>
              <w:rPr>
                <w:color w:val="FF0000"/>
              </w:rPr>
            </w:pPr>
            <w:r>
              <w:t>C</w:t>
            </w:r>
            <w:r w:rsidRPr="00077B1B">
              <w:t>opia hotărârii de aprobare a strategiei</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C92DD3">
            <w:pPr>
              <w:spacing w:before="120" w:after="120" w:line="240" w:lineRule="auto"/>
              <w:rPr>
                <w:i/>
              </w:rPr>
            </w:pPr>
            <w:r w:rsidRPr="00D85720">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F25924" w:rsidRPr="00F25924">
        <w:rPr>
          <w:i/>
          <w:sz w:val="22"/>
        </w:rPr>
        <w:t>investiția este în conformitate cu planurile de dezvoltare ale comunelor sau să fie coerentă cu orice strategie de dezvoltare locală relevantă</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F25924" w:rsidRPr="00F25924">
        <w:rPr>
          <w:i/>
          <w:sz w:val="22"/>
        </w:rPr>
        <w:t>investiția nu este în conformitate cu planurile de dezvoltare ale comunelor sau să fie coerentă cu orice strategie de dezvoltare locală relevantă</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EG6. Solicitantul trebuie să respecte valoarea totală/proiect și rata sprijinului pentru fiecare tip de beneficiar</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lastRenderedPageBreak/>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Default="00F25924" w:rsidP="00C92DD3">
            <w:pPr>
              <w:tabs>
                <w:tab w:val="left" w:pos="-70"/>
                <w:tab w:val="center" w:pos="4680"/>
                <w:tab w:val="right" w:pos="9360"/>
              </w:tabs>
              <w:spacing w:before="120" w:after="120" w:line="240" w:lineRule="auto"/>
              <w:ind w:firstLine="0"/>
              <w:jc w:val="left"/>
            </w:pPr>
            <w:r w:rsidRPr="00594D62">
              <w:lastRenderedPageBreak/>
              <w:t>Studiul de Fezabilitate/</w:t>
            </w:r>
            <w:r>
              <w:t xml:space="preserve"> Documentația de Avizare a Lucră</w:t>
            </w:r>
            <w:r w:rsidRPr="00594D62">
              <w:t>rilor de Intervenții/ Memoriu Justificativ</w:t>
            </w:r>
          </w:p>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F25924">
            <w:pPr>
              <w:spacing w:before="120" w:after="120" w:line="240" w:lineRule="auto"/>
              <w:rPr>
                <w:i/>
              </w:rPr>
            </w:pPr>
            <w:r w:rsidRPr="00D85720">
              <w:rPr>
                <w:i/>
              </w:rPr>
              <w:t xml:space="preserve">Se va verifica </w:t>
            </w:r>
            <w:r>
              <w:rPr>
                <w:i/>
              </w:rPr>
              <w:t xml:space="preserve">dacă </w:t>
            </w:r>
            <w:r w:rsidRPr="00F25924">
              <w:rPr>
                <w:i/>
              </w:rPr>
              <w:t xml:space="preserve">Solicitantul </w:t>
            </w:r>
            <w:r>
              <w:rPr>
                <w:i/>
              </w:rPr>
              <w:t>respectă</w:t>
            </w:r>
            <w:r w:rsidRPr="00F25924">
              <w:rPr>
                <w:i/>
              </w:rPr>
              <w:t xml:space="preserve"> valoarea totală/proiect și rata sprijinului pentru fiecare tip de beneficiar</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respectă valoarea totală/proiect și rata sprijinului pentru fiecare tip de beneficiar, expertul bifează căsuţa corespunzătoare solicitantului şi căsuţa DA.  </w:t>
      </w:r>
    </w:p>
    <w:p w:rsidR="00F25924" w:rsidRPr="00F25924" w:rsidRDefault="00F25924" w:rsidP="00F25924">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Solicitantul nu respectă valoarea totală/proiect și rata sprijinului pentru fiecare tip de beneficiar</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EG7.</w:t>
      </w:r>
      <w:r w:rsidRPr="00F25924">
        <w:rPr>
          <w:b/>
          <w:i/>
        </w:rPr>
        <w:t xml:space="preserve"> </w:t>
      </w:r>
      <w:r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Pr="00F25924" w:rsidRDefault="006C6ADD" w:rsidP="00F25924">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Pr="00F25924">
              <w:rPr>
                <w:i/>
              </w:rPr>
              <w:t>Se verifică dacă investițiile și serviciile 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t xml:space="preserve">achiziționare utilaje și echipamente pentru </w:t>
            </w:r>
            <w:r w:rsidRPr="00F25924">
              <w:rPr>
                <w:i/>
              </w:rPr>
              <w:lastRenderedPageBreak/>
              <w:t>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Investiția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C92DD3" w:rsidRDefault="00C92DD3" w:rsidP="00C92DD3">
            <w:pPr>
              <w:pStyle w:val="ListParagraph"/>
              <w:numPr>
                <w:ilvl w:val="0"/>
                <w:numId w:val="39"/>
              </w:numPr>
              <w:spacing w:before="120" w:after="120" w:line="240" w:lineRule="auto"/>
              <w:rPr>
                <w:i/>
              </w:rPr>
            </w:pPr>
            <w:r w:rsidRPr="00C92DD3">
              <w:rPr>
                <w:i/>
              </w:rPr>
              <w:t>angajamentul de asigurare a cofinanțării, dacă este cazul.</w:t>
            </w:r>
          </w:p>
          <w:p w:rsidR="00C92DD3" w:rsidRPr="00AA598F" w:rsidRDefault="00C92DD3" w:rsidP="00C92DD3">
            <w:pPr>
              <w:spacing w:before="120" w:after="120" w:line="240" w:lineRule="auto"/>
              <w:ind w:firstLine="0"/>
            </w:pPr>
          </w:p>
        </w:tc>
      </w:tr>
    </w:tbl>
    <w:p w:rsidR="006C6ADD" w:rsidRDefault="006C6ADD" w:rsidP="00C92DD3">
      <w:pPr>
        <w:shd w:val="clear" w:color="auto" w:fill="00FFFF"/>
        <w:spacing w:before="120" w:after="120" w:line="240" w:lineRule="auto"/>
        <w:ind w:firstLine="708"/>
        <w:rPr>
          <w:b/>
          <w:i/>
        </w:rPr>
      </w:pPr>
      <w:r w:rsidRPr="00AA598F">
        <w:rPr>
          <w:b/>
        </w:rPr>
        <w:lastRenderedPageBreak/>
        <w:t>EG</w:t>
      </w:r>
      <w:r w:rsidR="00C92DD3">
        <w:rPr>
          <w:b/>
        </w:rPr>
        <w:t>9</w:t>
      </w:r>
      <w:r w:rsidRPr="00AA598F">
        <w:rPr>
          <w:b/>
        </w:rPr>
        <w:t xml:space="preserve"> Solicitantul trebuie să se angajeze că va asigura mentenanța investiției pe o perioadă de minimum 5 ani de la data ultimei pl</w:t>
      </w:r>
      <w:r w:rsidR="00C92DD3">
        <w:rPr>
          <w:b/>
        </w:rPr>
        <w:t>ă</w:t>
      </w:r>
      <w:r w:rsidRPr="00AA598F">
        <w:rPr>
          <w:b/>
        </w:rPr>
        <w:t>ţi</w:t>
      </w:r>
      <w:r w:rsidRPr="00AA598F">
        <w:rPr>
          <w:b/>
          <w:i/>
        </w:rPr>
        <w:t>.</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C6ADD"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6C6ADD" w:rsidRPr="00AA598F" w:rsidRDefault="006C6ADD" w:rsidP="00C92DD3">
            <w:pPr>
              <w:tabs>
                <w:tab w:val="left" w:pos="0"/>
                <w:tab w:val="left" w:pos="342"/>
                <w:tab w:val="center" w:pos="4680"/>
                <w:tab w:val="right" w:pos="9360"/>
              </w:tabs>
              <w:spacing w:before="120" w:after="120" w:line="240" w:lineRule="auto"/>
              <w:rPr>
                <w:b/>
              </w:rPr>
            </w:pPr>
            <w:r w:rsidRPr="00AA598F">
              <w:rPr>
                <w:b/>
              </w:rPr>
              <w:t>Documente verificate</w:t>
            </w:r>
          </w:p>
          <w:p w:rsidR="006C6ADD" w:rsidRPr="00AA598F" w:rsidRDefault="006C6ADD"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6C6ADD" w:rsidRPr="00AA598F" w:rsidRDefault="006C6ADD" w:rsidP="00C92DD3">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6C6ADD" w:rsidRPr="00C92DD3" w:rsidRDefault="00C92DD3" w:rsidP="00C92DD3">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Pr="0053724F" w:rsidRDefault="006C6ADD" w:rsidP="006C6ADD">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6C6ADD" w:rsidRPr="00AA598F" w:rsidRDefault="006C6ADD" w:rsidP="0053724F">
      <w:pPr>
        <w:spacing w:before="120" w:after="120" w:line="240" w:lineRule="auto"/>
        <w:ind w:firstLine="0"/>
        <w:rPr>
          <w:b/>
        </w:rPr>
      </w:pPr>
    </w:p>
    <w:p w:rsidR="006C6ADD" w:rsidRPr="00AA598F" w:rsidRDefault="006C6ADD" w:rsidP="0053724F">
      <w:pPr>
        <w:widowControl w:val="0"/>
        <w:tabs>
          <w:tab w:val="left" w:pos="800"/>
        </w:tabs>
        <w:autoSpaceDE w:val="0"/>
        <w:autoSpaceDN w:val="0"/>
        <w:adjustRightInd w:val="0"/>
        <w:spacing w:before="120" w:after="120" w:line="240" w:lineRule="auto"/>
        <w:ind w:firstLine="0"/>
      </w:pPr>
    </w:p>
    <w:p w:rsidR="006C6ADD" w:rsidRPr="00AA598F" w:rsidRDefault="0053724F" w:rsidP="0053724F">
      <w:pPr>
        <w:widowControl w:val="0"/>
        <w:shd w:val="clear" w:color="auto" w:fill="00FFFF"/>
        <w:tabs>
          <w:tab w:val="left" w:pos="800"/>
        </w:tabs>
        <w:autoSpaceDE w:val="0"/>
        <w:autoSpaceDN w:val="0"/>
        <w:adjustRightInd w:val="0"/>
        <w:spacing w:before="120" w:after="120" w:line="240" w:lineRule="auto"/>
        <w:rPr>
          <w:b/>
        </w:rPr>
      </w:pPr>
      <w:r>
        <w:rPr>
          <w:b/>
        </w:rPr>
        <w:t>EG10</w:t>
      </w:r>
      <w:r w:rsidR="006C6ADD" w:rsidRPr="00AA598F">
        <w:rPr>
          <w:b/>
        </w:rPr>
        <w:t xml:space="preserve"> Proiectul de investiţii în infrastructura de apă/ apă uzată trebuie să deţină avizul Operatorului Regional/ Local ce atestă funcţionalitatea sistemului şi conformitatea pentru soluţia de funcţionare</w:t>
      </w:r>
    </w:p>
    <w:p w:rsidR="006C6ADD" w:rsidRPr="00AA598F" w:rsidRDefault="006C6ADD" w:rsidP="006C6ADD">
      <w:pPr>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6C6ADD" w:rsidRPr="006723F4" w:rsidTr="0053724F">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6723F4" w:rsidTr="00C92DD3">
        <w:tc>
          <w:tcPr>
            <w:tcW w:w="4683" w:type="dxa"/>
            <w:tcBorders>
              <w:top w:val="single" w:sz="4" w:space="0" w:color="auto"/>
              <w:left w:val="single" w:sz="4" w:space="0" w:color="auto"/>
              <w:bottom w:val="single" w:sz="4" w:space="0" w:color="auto"/>
              <w:right w:val="single" w:sz="4" w:space="0" w:color="auto"/>
            </w:tcBorders>
            <w:hideMark/>
          </w:tcPr>
          <w:p w:rsidR="006C6ADD" w:rsidRPr="00AA598F" w:rsidRDefault="006C6ADD" w:rsidP="00C92DD3">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6C6ADD" w:rsidRPr="0053724F" w:rsidRDefault="006C6ADD" w:rsidP="00C92DD3">
            <w:pPr>
              <w:pBdr>
                <w:left w:val="single" w:sz="8" w:space="0" w:color="auto"/>
              </w:pBdr>
              <w:spacing w:before="120" w:after="120" w:line="240" w:lineRule="auto"/>
              <w:ind w:firstLine="20"/>
              <w:rPr>
                <w:i/>
                <w:color w:val="000000"/>
              </w:rPr>
            </w:pPr>
            <w:r w:rsidRPr="0053724F">
              <w:rPr>
                <w:i/>
              </w:rPr>
              <w:t xml:space="preserve">Expertul verifică daca Avizul de conformitate al Operatorului Regional/ Local atestă </w:t>
            </w:r>
            <w:r w:rsidRPr="0053724F">
              <w:rPr>
                <w:i/>
              </w:rPr>
              <w:lastRenderedPageBreak/>
              <w:t>funcţionalitatea sistemului şi conformitatea  pentru soluţia de funcţionare</w:t>
            </w:r>
          </w:p>
        </w:tc>
      </w:tr>
    </w:tbl>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lastRenderedPageBreak/>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6C6ADD" w:rsidRPr="00AA598F" w:rsidRDefault="006C6ADD" w:rsidP="006C6ADD">
      <w:pPr>
        <w:spacing w:before="120" w:after="120" w:line="240" w:lineRule="auto"/>
        <w:rPr>
          <w:i/>
        </w:rPr>
      </w:pPr>
    </w:p>
    <w:p w:rsidR="006C6ADD" w:rsidRPr="00AA598F" w:rsidRDefault="006C6ADD" w:rsidP="0053724F">
      <w:pPr>
        <w:shd w:val="clear" w:color="auto" w:fill="00FFFF"/>
        <w:spacing w:before="120" w:after="120" w:line="240" w:lineRule="auto"/>
        <w:rPr>
          <w:b/>
          <w:i/>
        </w:rPr>
      </w:pPr>
      <w:r w:rsidRPr="00AA598F">
        <w:rPr>
          <w:b/>
        </w:rPr>
        <w:t>EG</w:t>
      </w:r>
      <w:r w:rsidR="0053724F">
        <w:rPr>
          <w:b/>
        </w:rPr>
        <w:t>11</w:t>
      </w:r>
      <w:r w:rsidRPr="00AA598F">
        <w:rPr>
          <w:b/>
          <w:i/>
        </w:rPr>
        <w:t xml:space="preserve"> </w:t>
      </w:r>
      <w:r w:rsidRPr="00AA598F">
        <w:rPr>
          <w:b/>
        </w:rPr>
        <w:t>Investiția în sistemul de alimentare cu apă trebuie să se realizeze în mod obligatoriu împreună cu rețeaua de apă uzată, dacă aceasta nu există</w:t>
      </w:r>
    </w:p>
    <w:p w:rsidR="006C6ADD" w:rsidRPr="00AA598F" w:rsidRDefault="006C6ADD" w:rsidP="006C6ADD">
      <w:pPr>
        <w:widowControl w:val="0"/>
        <w:tabs>
          <w:tab w:val="left" w:pos="800"/>
        </w:tabs>
        <w:autoSpaceDE w:val="0"/>
        <w:autoSpaceDN w:val="0"/>
        <w:adjustRightInd w:val="0"/>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6C6ADD" w:rsidRPr="0073741C" w:rsidTr="0053724F">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73741C" w:rsidTr="00C92DD3">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53724F">
            <w:pPr>
              <w:spacing w:before="120" w:after="120"/>
              <w:ind w:firstLine="0"/>
            </w:pPr>
            <w:r w:rsidRPr="0053724F">
              <w:t xml:space="preserve">Studiul de Fezabilitate/ Documentația de Avizare pentru Lucrări de Intervenții  </w:t>
            </w:r>
          </w:p>
          <w:p w:rsidR="0053724F" w:rsidRPr="0053724F" w:rsidRDefault="0053724F" w:rsidP="0053724F">
            <w:pPr>
              <w:spacing w:before="120" w:after="120"/>
              <w:ind w:firstLine="0"/>
            </w:pPr>
          </w:p>
          <w:p w:rsidR="006C6ADD" w:rsidRPr="0053724F" w:rsidRDefault="006C6ADD" w:rsidP="0053724F">
            <w:pPr>
              <w:spacing w:before="120" w:after="120"/>
              <w:ind w:firstLine="0"/>
            </w:pPr>
            <w:r w:rsidRPr="0053724F">
              <w:t>Autorizaţia de funcţionare pentru infrastructura de apă uzată (corespunzătoare pentru cel puțin lungimea tronsonului de apă propus a se realiza prin proiect)</w:t>
            </w:r>
          </w:p>
          <w:p w:rsidR="006C6ADD" w:rsidRPr="00AA598F" w:rsidRDefault="006C6ADD" w:rsidP="0053724F">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C92DD3">
            <w:pPr>
              <w:spacing w:before="120" w:after="120" w:line="240" w:lineRule="auto"/>
              <w:rPr>
                <w:i/>
              </w:rPr>
            </w:pPr>
            <w:r w:rsidRPr="0053724F">
              <w:rPr>
                <w:i/>
              </w:rPr>
              <w:t>Expertul verifică în baza informaţiilor din Studiul de Fezabilitate/ Documentația de Avizare pentru Lucrări de Intervenții dacă investiția în sistemul de alimentare cu apa se realize</w:t>
            </w:r>
            <w:r w:rsidR="0053724F" w:rsidRPr="0053724F">
              <w:rPr>
                <w:i/>
              </w:rPr>
              <w:t>ază</w:t>
            </w:r>
            <w:r w:rsidRPr="0053724F">
              <w:rPr>
                <w:i/>
              </w:rPr>
              <w:t xml:space="preserve"> împreună cu rețeaua de apă uzată, dacă aceasta nu există. </w:t>
            </w:r>
          </w:p>
          <w:p w:rsidR="006C6ADD" w:rsidRPr="0053724F" w:rsidRDefault="006C6ADD" w:rsidP="0053724F">
            <w:pPr>
              <w:spacing w:before="120" w:after="120" w:line="240" w:lineRule="auto"/>
              <w:ind w:firstLine="0"/>
              <w:rPr>
                <w:i/>
              </w:rPr>
            </w:pPr>
          </w:p>
          <w:p w:rsidR="006C6ADD" w:rsidRPr="0053724F" w:rsidRDefault="006C6ADD" w:rsidP="0053724F">
            <w:pPr>
              <w:spacing w:before="120" w:after="120" w:line="240" w:lineRule="auto"/>
              <w:ind w:firstLine="0"/>
              <w:rPr>
                <w:i/>
              </w:rPr>
            </w:pPr>
            <w:r w:rsidRPr="0053724F">
              <w:rPr>
                <w:i/>
              </w:rPr>
              <w:t xml:space="preserve">  Expertul verifică: </w:t>
            </w:r>
          </w:p>
          <w:p w:rsidR="006C6ADD" w:rsidRPr="0053724F" w:rsidRDefault="0053724F" w:rsidP="0053724F">
            <w:pPr>
              <w:pStyle w:val="ListParagraph"/>
              <w:spacing w:after="0" w:line="240" w:lineRule="auto"/>
              <w:ind w:left="187" w:firstLine="0"/>
              <w:rPr>
                <w:i/>
                <w:lang w:val="en-US"/>
              </w:rPr>
            </w:pPr>
            <w:r w:rsidRPr="0053724F">
              <w:rPr>
                <w:i/>
                <w:lang w:val="en-US"/>
              </w:rPr>
              <w:t xml:space="preserve">- </w:t>
            </w:r>
            <w:r w:rsidR="006C6ADD" w:rsidRPr="0053724F">
              <w:rPr>
                <w:i/>
                <w:lang w:val="en-US"/>
              </w:rPr>
              <w:t>existența Autorizaţiei de funcţionare pentru infrastructura de apă uzată (corespunzătoare pentru cel puțin lungimea tronsonului de apă propus a se realiza prin proiect)</w:t>
            </w:r>
          </w:p>
        </w:tc>
      </w:tr>
    </w:tbl>
    <w:p w:rsidR="006C6ADD" w:rsidRPr="0053724F" w:rsidRDefault="006C6ADD" w:rsidP="006C6ADD">
      <w:pPr>
        <w:widowControl w:val="0"/>
        <w:tabs>
          <w:tab w:val="left" w:pos="800"/>
        </w:tabs>
        <w:autoSpaceDE w:val="0"/>
        <w:autoSpaceDN w:val="0"/>
        <w:adjustRightInd w:val="0"/>
        <w:spacing w:before="120" w:after="120" w:line="240" w:lineRule="auto"/>
        <w:rPr>
          <w:i/>
          <w:sz w:val="22"/>
        </w:rPr>
      </w:pPr>
      <w:r w:rsidRPr="0053724F">
        <w:rPr>
          <w:i/>
          <w:sz w:val="22"/>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În caz contrar, expertul bifează căsuţa din coloana NU şi motivează poziţia lui în rubrica „Observaţii” din fişa de evaluare generală a proiectului, proiectul fiind neeligibil.</w:t>
      </w:r>
    </w:p>
    <w:p w:rsidR="006C6ADD" w:rsidRPr="00AA598F" w:rsidRDefault="006C6ADD" w:rsidP="006C6ADD">
      <w:pPr>
        <w:widowControl w:val="0"/>
        <w:tabs>
          <w:tab w:val="left" w:pos="800"/>
        </w:tabs>
        <w:autoSpaceDE w:val="0"/>
        <w:autoSpaceDN w:val="0"/>
        <w:adjustRightInd w:val="0"/>
        <w:spacing w:before="120" w:after="120" w:line="240" w:lineRule="auto"/>
        <w:rPr>
          <w:b/>
          <w:u w:val="single"/>
        </w:rPr>
      </w:pPr>
    </w:p>
    <w:p w:rsidR="006C6ADD" w:rsidRPr="00AA598F" w:rsidRDefault="006C6ADD" w:rsidP="0053724F">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sidR="0053724F">
        <w:rPr>
          <w:b/>
        </w:rPr>
        <w:t>12</w:t>
      </w:r>
      <w:r w:rsidRPr="00AA598F">
        <w:rPr>
          <w:b/>
        </w:rPr>
        <w:t xml:space="preserve"> Solicitantul investiţiilor trebuie să facă dovada proprietății terenului/ administrării în cazul domeniului public al statului</w:t>
      </w:r>
    </w:p>
    <w:p w:rsidR="006C6ADD" w:rsidRPr="00AA598F" w:rsidRDefault="006C6ADD" w:rsidP="006C6ADD">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6C6ADD" w:rsidRPr="0073741C" w:rsidTr="0053724F">
        <w:tc>
          <w:tcPr>
            <w:tcW w:w="2282" w:type="pct"/>
            <w:gridSpan w:val="2"/>
            <w:shd w:val="clear" w:color="auto" w:fill="31849B" w:themeFill="accent5" w:themeFillShade="BF"/>
            <w:vAlign w:val="center"/>
          </w:tcPr>
          <w:p w:rsidR="006C6ADD" w:rsidRPr="00AA598F" w:rsidRDefault="006C6ADD" w:rsidP="0053724F">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6C6ADD" w:rsidRPr="00AA598F" w:rsidRDefault="006C6ADD" w:rsidP="0053724F">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gridBefore w:val="1"/>
          <w:wBefore w:w="10" w:type="pct"/>
        </w:trPr>
        <w:tc>
          <w:tcPr>
            <w:tcW w:w="2272" w:type="pct"/>
          </w:tcPr>
          <w:p w:rsidR="009F5717" w:rsidRDefault="009F5717" w:rsidP="009F5717">
            <w:pPr>
              <w:spacing w:after="0" w:line="240" w:lineRule="auto"/>
              <w:ind w:firstLine="0"/>
              <w:jc w:val="left"/>
              <w:rPr>
                <w:rFonts w:cs="Calibri"/>
                <w:color w:val="000000"/>
                <w:szCs w:val="24"/>
              </w:rPr>
            </w:pPr>
            <w:r w:rsidRPr="009F5717">
              <w:rPr>
                <w:rFonts w:cs="Calibri"/>
                <w:color w:val="000000"/>
                <w:szCs w:val="24"/>
              </w:rPr>
              <w:t>Inventarul bunurilor ce aparţin domeniului public al Comunei/</w:t>
            </w:r>
            <w:r>
              <w:rPr>
                <w:rFonts w:cs="Calibri"/>
                <w:color w:val="000000"/>
                <w:szCs w:val="24"/>
              </w:rPr>
              <w:t xml:space="preserve"> </w:t>
            </w:r>
            <w:r w:rsidRPr="009F5717">
              <w:rPr>
                <w:rFonts w:cs="Calibri"/>
                <w:color w:val="000000"/>
                <w:szCs w:val="24"/>
              </w:rPr>
              <w:t xml:space="preserve">comunelor,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 Avizul administratorului terenului </w:t>
            </w:r>
            <w:r w:rsidRPr="009F5717">
              <w:rPr>
                <w:rFonts w:cs="Calibri"/>
                <w:color w:val="000000"/>
                <w:szCs w:val="24"/>
              </w:rPr>
              <w:lastRenderedPageBreak/>
              <w:t xml:space="preserve">aparţinând domeniului public, altul decat cel administrat de primărie (dacă este cazul), </w:t>
            </w:r>
          </w:p>
          <w:p w:rsidR="006C6ADD" w:rsidRPr="00AA598F" w:rsidRDefault="009F5717" w:rsidP="009F5717">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6C6ADD" w:rsidRDefault="006C6ADD" w:rsidP="009F5717">
            <w:pPr>
              <w:spacing w:after="0" w:line="240" w:lineRule="auto"/>
              <w:rPr>
                <w:rFonts w:cs="Calibri"/>
                <w:bCs/>
                <w:i/>
                <w:szCs w:val="24"/>
                <w:lang w:val="es-ES"/>
              </w:rPr>
            </w:pPr>
            <w:r w:rsidRPr="009F5717">
              <w:rPr>
                <w:rFonts w:cs="Calibri"/>
                <w:i/>
                <w:szCs w:val="24"/>
                <w:lang w:val="it-IT"/>
              </w:rPr>
              <w:lastRenderedPageBreak/>
              <w:t xml:space="preserve">Expertul verifică în Inventarul </w:t>
            </w:r>
            <w:r w:rsidR="009F5717">
              <w:rPr>
                <w:rFonts w:cs="Calibri"/>
                <w:i/>
                <w:szCs w:val="24"/>
                <w:lang w:val="it-IT"/>
              </w:rPr>
              <w:t>bunurilor domeniului public dacă</w:t>
            </w:r>
            <w:r w:rsidRPr="009F5717">
              <w:rPr>
                <w:rFonts w:cs="Calibri"/>
                <w:i/>
                <w:szCs w:val="24"/>
                <w:lang w:val="it-IT"/>
              </w:rPr>
              <w:t xml:space="preserve"> </w:t>
            </w:r>
            <w:r w:rsidRPr="009F5717">
              <w:rPr>
                <w:rFonts w:cs="Calibri"/>
                <w:bCs/>
                <w:i/>
                <w:szCs w:val="24"/>
                <w:lang w:val="es-ES"/>
              </w:rPr>
              <w:t>terenul pe care se amplasează proiectul este înregistrat în inventarul bunurilor care apațin domeniului public.</w:t>
            </w:r>
          </w:p>
          <w:p w:rsidR="009F5717" w:rsidRPr="009F5717" w:rsidRDefault="009F5717" w:rsidP="009F5717">
            <w:pPr>
              <w:spacing w:after="0" w:line="240" w:lineRule="auto"/>
              <w:ind w:firstLine="0"/>
              <w:jc w:val="left"/>
              <w:rPr>
                <w:rFonts w:cs="Calibri"/>
                <w:i/>
                <w:color w:val="000000"/>
                <w:szCs w:val="24"/>
              </w:rPr>
            </w:pPr>
            <w:r>
              <w:rPr>
                <w:rFonts w:cs="Calibri"/>
                <w:color w:val="000000"/>
                <w:szCs w:val="24"/>
              </w:rPr>
              <w:t xml:space="preserve">          </w:t>
            </w:r>
            <w:r w:rsidRPr="009F5717">
              <w:rPr>
                <w:rFonts w:cs="Calibri"/>
                <w:i/>
                <w:color w:val="000000"/>
                <w:szCs w:val="24"/>
              </w:rPr>
              <w:t xml:space="preserve">Hotărârea Consiliului Local privind aprobarea modificărilor şi / sau completărilor la inventar, </w:t>
            </w:r>
          </w:p>
          <w:p w:rsidR="009F5717" w:rsidRPr="009F5717" w:rsidRDefault="009F5717" w:rsidP="009F5717">
            <w:pPr>
              <w:spacing w:after="0" w:line="240" w:lineRule="auto"/>
              <w:rPr>
                <w:rFonts w:cs="Calibri"/>
                <w:bCs/>
                <w:i/>
                <w:szCs w:val="24"/>
                <w:lang w:val="es-ES"/>
              </w:rPr>
            </w:pPr>
            <w:r w:rsidRPr="009F5717">
              <w:rPr>
                <w:rFonts w:cs="Calibri"/>
                <w:color w:val="000000"/>
                <w:szCs w:val="24"/>
              </w:rPr>
              <w:lastRenderedPageBreak/>
              <w:t xml:space="preserve"> </w:t>
            </w:r>
            <w:r w:rsidRPr="009F5717">
              <w:rPr>
                <w:rFonts w:cs="Calibri"/>
                <w:i/>
                <w:color w:val="000000"/>
                <w:szCs w:val="24"/>
              </w:rPr>
              <w:t>Avizul administratorului terenului aparţinând domeniului public, altul decat cel administrat de primărie (dacă este cazul),</w:t>
            </w:r>
          </w:p>
          <w:p w:rsidR="006C6ADD" w:rsidRPr="009F5717" w:rsidRDefault="006C6ADD" w:rsidP="00C92DD3">
            <w:pPr>
              <w:spacing w:after="0" w:line="240" w:lineRule="auto"/>
              <w:rPr>
                <w:rFonts w:eastAsia="Times New Roman" w:cs="Calibri"/>
                <w:i/>
                <w:szCs w:val="24"/>
                <w:lang w:eastAsia="fr-FR"/>
              </w:rPr>
            </w:pPr>
            <w:r w:rsidRPr="009F5717">
              <w:rPr>
                <w:rFonts w:eastAsia="Times New Roman" w:cs="Calibri"/>
                <w:i/>
                <w:szCs w:val="24"/>
                <w:lang w:eastAsia="fr-FR"/>
              </w:rPr>
              <w:t xml:space="preserve">Pentru ONG expertul verifică </w:t>
            </w:r>
            <w:r w:rsidRPr="009F5717">
              <w:rPr>
                <w:rFonts w:cs="Calibri"/>
                <w:i/>
                <w:szCs w:val="24"/>
              </w:rPr>
              <w:t xml:space="preserve"> </w:t>
            </w:r>
            <w:r w:rsidRPr="009F5717">
              <w:rPr>
                <w:rFonts w:eastAsia="Times New Roman" w:cs="Calibri"/>
                <w:i/>
                <w:szCs w:val="24"/>
                <w:lang w:eastAsia="fr-FR"/>
              </w:rPr>
              <w:t>actul de proprietate iar în cazul Contractului de concesiune/delegare a administrării bunului imobil perioada de delegare a administrarii bunului imobil (minim 10 ani).</w:t>
            </w:r>
          </w:p>
          <w:p w:rsidR="006C6ADD" w:rsidRPr="00AA598F" w:rsidRDefault="006C6ADD" w:rsidP="009F5717">
            <w:pPr>
              <w:spacing w:after="0" w:line="240" w:lineRule="auto"/>
              <w:rPr>
                <w:rFonts w:cs="Calibri"/>
                <w:szCs w:val="24"/>
              </w:rPr>
            </w:pPr>
          </w:p>
        </w:tc>
      </w:tr>
    </w:tbl>
    <w:p w:rsidR="006C6ADD" w:rsidRPr="009F5717" w:rsidRDefault="006C6ADD" w:rsidP="006C6ADD">
      <w:pPr>
        <w:spacing w:before="120" w:after="120" w:line="240" w:lineRule="auto"/>
        <w:rPr>
          <w:i/>
          <w:sz w:val="22"/>
        </w:rPr>
      </w:pPr>
      <w:r w:rsidRPr="009F5717">
        <w:rPr>
          <w:i/>
          <w:sz w:val="22"/>
        </w:rPr>
        <w:lastRenderedPageBreak/>
        <w:t>Dacă verificarea documentelor confirmă apartenenţa la domeniul public,  expertul bifează căsuţa din coloana DA din fişa de verificare.  În caz contrar,</w:t>
      </w:r>
      <w:r w:rsidRPr="009F5717">
        <w:rPr>
          <w:b/>
          <w:i/>
          <w:sz w:val="22"/>
        </w:rPr>
        <w:t xml:space="preserve"> </w:t>
      </w:r>
      <w:r w:rsidRPr="009F5717">
        <w:rPr>
          <w:i/>
          <w:sz w:val="22"/>
        </w:rPr>
        <w:t>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6C6ADD" w:rsidRPr="00AA598F" w:rsidRDefault="006C6ADD"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w:t>
            </w:r>
            <w:r w:rsidRPr="00AA598F">
              <w:rPr>
                <w:rFonts w:cs="Calibri"/>
                <w:szCs w:val="24"/>
                <w:lang w:eastAsia="fr-FR"/>
              </w:rPr>
              <w:lastRenderedPageBreak/>
              <w:t>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lastRenderedPageBreak/>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 E3.4L.</w:t>
      </w:r>
    </w:p>
    <w:p w:rsidR="006C6ADD" w:rsidRPr="00AA598F" w:rsidRDefault="006C6ADD" w:rsidP="006C6ADD">
      <w:pPr>
        <w:spacing w:before="120" w:after="120" w:line="240" w:lineRule="auto"/>
      </w:pPr>
      <w:r w:rsidRPr="00AA598F">
        <w:t>Prin transmiterea formularului E3.4L de către solicitant cu bugetul corectat , expertul va modifica bugetul în Fișa E1.2L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w:t>
      </w:r>
      <w:r w:rsidRPr="00AA598F">
        <w:lastRenderedPageBreak/>
        <w:t xml:space="preserve">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lastRenderedPageBreak/>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E3.4L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lastRenderedPageBreak/>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1. Prețurile utilizate la întocmirea devizelor se încadrează în prevederile                                   H.G. nr. 363/2010 cu completările şi modificările ulterioare ?</w:t>
      </w:r>
      <w:bookmarkEnd w:id="3"/>
    </w:p>
    <w:p w:rsidR="006C6ADD" w:rsidRPr="00AA598F" w:rsidRDefault="006C6ADD" w:rsidP="006C6ADD">
      <w:pPr>
        <w:keepNext/>
        <w:keepLines/>
        <w:shd w:val="clear" w:color="auto" w:fill="FFFFFF"/>
        <w:spacing w:before="120" w:after="120" w:line="240" w:lineRule="auto"/>
      </w:pPr>
      <w:bookmarkStart w:id="4"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lastRenderedPageBreak/>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lastRenderedPageBreak/>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5" w:name="_Toc487029158"/>
                  <w:r w:rsidRPr="00AA598F">
                    <w:rPr>
                      <w:b/>
                    </w:rPr>
                    <w:t>Plan Financiar Totalizator</w:t>
                  </w:r>
                  <w:bookmarkEnd w:id="5"/>
                  <w:r w:rsidRPr="00AA598F">
                    <w:rPr>
                      <w:b/>
                    </w:rPr>
                    <w:t xml:space="preserve"> </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lastRenderedPageBreak/>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6C6ADD" w:rsidRPr="00AA598F" w:rsidRDefault="006C6ADD" w:rsidP="006C6ADD">
      <w:pPr>
        <w:tabs>
          <w:tab w:val="left" w:pos="0"/>
        </w:tabs>
        <w:spacing w:before="120" w:after="120" w:line="240" w:lineRule="auto"/>
      </w:pPr>
      <w:r w:rsidRPr="00AA598F">
        <w:t>Prin transmiterea formularului E3.4L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1D" w:rsidRDefault="00B1131D" w:rsidP="0079694C">
      <w:pPr>
        <w:spacing w:after="0" w:line="240" w:lineRule="auto"/>
      </w:pPr>
      <w:r>
        <w:separator/>
      </w:r>
    </w:p>
  </w:endnote>
  <w:endnote w:type="continuationSeparator" w:id="0">
    <w:p w:rsidR="00B1131D" w:rsidRDefault="00B1131D"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altName w:val="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5B28AC" w:rsidRDefault="005B28AC">
        <w:pPr>
          <w:pStyle w:val="Footer"/>
          <w:jc w:val="center"/>
        </w:pPr>
        <w:r>
          <w:fldChar w:fldCharType="begin"/>
        </w:r>
        <w:r>
          <w:instrText xml:space="preserve"> PAGE   \* MERGEFORMAT </w:instrText>
        </w:r>
        <w:r>
          <w:fldChar w:fldCharType="separate"/>
        </w:r>
        <w:r w:rsidR="00105959">
          <w:rPr>
            <w:noProof/>
          </w:rPr>
          <w:t>6</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B28AC" w:rsidTr="009E1C72">
      <w:tc>
        <w:tcPr>
          <w:tcW w:w="8461" w:type="dxa"/>
        </w:tcPr>
        <w:p w:rsidR="005B28AC" w:rsidRDefault="005B28AC" w:rsidP="009E1C72">
          <w:pPr>
            <w:pStyle w:val="Footer"/>
          </w:pPr>
        </w:p>
        <w:p w:rsidR="005B28AC" w:rsidRDefault="005B28AC"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B28AC" w:rsidRDefault="005B28AC" w:rsidP="009E1C72">
          <w:pPr>
            <w:pStyle w:val="Footer"/>
          </w:pPr>
        </w:p>
      </w:tc>
      <w:tc>
        <w:tcPr>
          <w:tcW w:w="1746" w:type="dxa"/>
        </w:tcPr>
        <w:p w:rsidR="005B28AC" w:rsidRDefault="005B28AC"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B28AC" w:rsidRDefault="005B28AC"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5B28AC" w:rsidRDefault="005B28AC">
        <w:pPr>
          <w:pStyle w:val="Footer"/>
          <w:jc w:val="center"/>
        </w:pPr>
        <w:r>
          <w:fldChar w:fldCharType="begin"/>
        </w:r>
        <w:r>
          <w:instrText xml:space="preserve"> PAGE   \* MERGEFORMAT </w:instrText>
        </w:r>
        <w:r>
          <w:fldChar w:fldCharType="separate"/>
        </w:r>
        <w:r w:rsidR="00105959">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B28AC" w:rsidTr="009E1C72">
      <w:tc>
        <w:tcPr>
          <w:tcW w:w="8461" w:type="dxa"/>
        </w:tcPr>
        <w:p w:rsidR="005B28AC" w:rsidRDefault="005B28AC" w:rsidP="009E1C72">
          <w:pPr>
            <w:pStyle w:val="Footer"/>
          </w:pPr>
        </w:p>
        <w:p w:rsidR="005B28AC" w:rsidRDefault="005B28AC"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B28AC" w:rsidRDefault="005B28AC" w:rsidP="009E1C72">
          <w:pPr>
            <w:pStyle w:val="Footer"/>
          </w:pPr>
        </w:p>
      </w:tc>
      <w:tc>
        <w:tcPr>
          <w:tcW w:w="1746" w:type="dxa"/>
        </w:tcPr>
        <w:p w:rsidR="005B28AC" w:rsidRDefault="005B28AC"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B28AC" w:rsidRDefault="005B28AC"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5B28AC" w:rsidRDefault="005B28AC">
        <w:pPr>
          <w:pStyle w:val="Footer"/>
          <w:jc w:val="center"/>
        </w:pPr>
        <w:r>
          <w:fldChar w:fldCharType="begin"/>
        </w:r>
        <w:r>
          <w:instrText xml:space="preserve"> PAGE   \* MERGEFORMAT </w:instrText>
        </w:r>
        <w:r>
          <w:fldChar w:fldCharType="separate"/>
        </w:r>
        <w:r w:rsidR="00105959">
          <w:rPr>
            <w:noProof/>
          </w:rPr>
          <w:t>38</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5B28AC" w:rsidTr="006D52C9">
      <w:trPr>
        <w:trHeight w:val="1428"/>
      </w:trPr>
      <w:tc>
        <w:tcPr>
          <w:tcW w:w="8610" w:type="dxa"/>
        </w:tcPr>
        <w:p w:rsidR="005B28AC" w:rsidRDefault="005B28AC" w:rsidP="003E27C3">
          <w:pPr>
            <w:pStyle w:val="Footer"/>
          </w:pPr>
        </w:p>
        <w:p w:rsidR="005B28AC" w:rsidRDefault="005B28AC"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5B28AC" w:rsidRDefault="005B28AC"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B28AC" w:rsidRDefault="005B28AC"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1D" w:rsidRDefault="00B1131D" w:rsidP="0079694C">
      <w:pPr>
        <w:spacing w:after="0" w:line="240" w:lineRule="auto"/>
      </w:pPr>
      <w:r>
        <w:separator/>
      </w:r>
    </w:p>
  </w:footnote>
  <w:footnote w:type="continuationSeparator" w:id="0">
    <w:p w:rsidR="00B1131D" w:rsidRDefault="00B1131D"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B28AC" w:rsidTr="009E1C72">
      <w:trPr>
        <w:trHeight w:val="76"/>
        <w:jc w:val="center"/>
      </w:trPr>
      <w:tc>
        <w:tcPr>
          <w:tcW w:w="1884" w:type="dxa"/>
        </w:tcPr>
        <w:p w:rsidR="005B28AC" w:rsidRDefault="005B28AC"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B28AC" w:rsidRPr="00032565" w:rsidRDefault="005B28AC"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B28AC" w:rsidRDefault="005B28AC" w:rsidP="009E1C72">
          <w:pPr>
            <w:pStyle w:val="Header"/>
            <w:rPr>
              <w:b/>
              <w:noProof/>
              <w:color w:val="32643C"/>
              <w:szCs w:val="24"/>
            </w:rPr>
          </w:pPr>
        </w:p>
        <w:p w:rsidR="005B28AC" w:rsidRPr="009239CC" w:rsidRDefault="005B28AC"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B28AC" w:rsidRPr="009239CC" w:rsidRDefault="005B28AC"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B28AC" w:rsidRPr="00431994" w:rsidRDefault="005B28AC"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B28AC" w:rsidRDefault="005B2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B28AC" w:rsidTr="009E1C72">
      <w:trPr>
        <w:trHeight w:val="76"/>
        <w:jc w:val="center"/>
      </w:trPr>
      <w:tc>
        <w:tcPr>
          <w:tcW w:w="1884" w:type="dxa"/>
        </w:tcPr>
        <w:p w:rsidR="005B28AC" w:rsidRDefault="005B28AC"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B28AC" w:rsidRPr="00032565" w:rsidRDefault="005B28AC"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B28AC" w:rsidRDefault="005B28AC" w:rsidP="009E1C72">
          <w:pPr>
            <w:pStyle w:val="Header"/>
            <w:rPr>
              <w:b/>
              <w:noProof/>
              <w:color w:val="32643C"/>
              <w:szCs w:val="24"/>
            </w:rPr>
          </w:pPr>
        </w:p>
        <w:p w:rsidR="005B28AC" w:rsidRPr="009239CC" w:rsidRDefault="005B28AC"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B28AC" w:rsidRPr="009239CC" w:rsidRDefault="005B28AC"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B28AC" w:rsidRPr="00431994" w:rsidRDefault="005B28AC"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B28AC" w:rsidRDefault="005B2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5B28AC"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B28AC" w:rsidTr="003E27C3">
            <w:trPr>
              <w:trHeight w:val="76"/>
              <w:jc w:val="center"/>
            </w:trPr>
            <w:tc>
              <w:tcPr>
                <w:tcW w:w="1884" w:type="dxa"/>
              </w:tcPr>
              <w:p w:rsidR="005B28AC" w:rsidRDefault="005B28AC"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B28AC" w:rsidRPr="00032565" w:rsidRDefault="005B28AC"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5B28AC" w:rsidRDefault="005B28AC" w:rsidP="003E27C3">
                <w:pPr>
                  <w:pStyle w:val="Header"/>
                  <w:rPr>
                    <w:b/>
                    <w:noProof/>
                    <w:color w:val="32643C"/>
                    <w:szCs w:val="24"/>
                  </w:rPr>
                </w:pPr>
              </w:p>
              <w:p w:rsidR="005B28AC" w:rsidRPr="009239CC" w:rsidRDefault="005B28AC"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B28AC" w:rsidRPr="009239CC" w:rsidRDefault="005B28AC"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B28AC" w:rsidRPr="00431994" w:rsidRDefault="005B28AC"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B28AC" w:rsidRDefault="005B28AC" w:rsidP="0022247C">
          <w:pPr>
            <w:pStyle w:val="Header"/>
            <w:spacing w:after="160"/>
            <w:ind w:firstLine="0"/>
            <w:rPr>
              <w:b/>
              <w:noProof/>
              <w:color w:val="32643C"/>
              <w:szCs w:val="24"/>
            </w:rPr>
          </w:pPr>
        </w:p>
      </w:tc>
      <w:tc>
        <w:tcPr>
          <w:tcW w:w="5315" w:type="dxa"/>
        </w:tcPr>
        <w:p w:rsidR="005B28AC" w:rsidRPr="00431994" w:rsidRDefault="005B28AC" w:rsidP="0022247C">
          <w:pPr>
            <w:pStyle w:val="Header"/>
            <w:rPr>
              <w:noProof/>
              <w:color w:val="32643C"/>
              <w:szCs w:val="24"/>
            </w:rPr>
          </w:pPr>
        </w:p>
      </w:tc>
    </w:tr>
  </w:tbl>
  <w:p w:rsidR="005B28AC" w:rsidRDefault="005B28AC"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4">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5">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21"/>
  </w:num>
  <w:num w:numId="4">
    <w:abstractNumId w:val="19"/>
  </w:num>
  <w:num w:numId="5">
    <w:abstractNumId w:val="9"/>
  </w:num>
  <w:num w:numId="6">
    <w:abstractNumId w:val="32"/>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5"/>
  </w:num>
  <w:num w:numId="15">
    <w:abstractNumId w:val="12"/>
  </w:num>
  <w:num w:numId="16">
    <w:abstractNumId w:val="3"/>
  </w:num>
  <w:num w:numId="17">
    <w:abstractNumId w:val="33"/>
  </w:num>
  <w:num w:numId="18">
    <w:abstractNumId w:val="34"/>
  </w:num>
  <w:num w:numId="19">
    <w:abstractNumId w:val="8"/>
  </w:num>
  <w:num w:numId="20">
    <w:abstractNumId w:val="26"/>
  </w:num>
  <w:num w:numId="21">
    <w:abstractNumId w:val="14"/>
  </w:num>
  <w:num w:numId="22">
    <w:abstractNumId w:val="15"/>
  </w:num>
  <w:num w:numId="23">
    <w:abstractNumId w:val="24"/>
  </w:num>
  <w:num w:numId="24">
    <w:abstractNumId w:val="5"/>
  </w:num>
  <w:num w:numId="25">
    <w:abstractNumId w:val="23"/>
  </w:num>
  <w:num w:numId="26">
    <w:abstractNumId w:val="2"/>
  </w:num>
  <w:num w:numId="27">
    <w:abstractNumId w:val="16"/>
  </w:num>
  <w:num w:numId="28">
    <w:abstractNumId w:val="30"/>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8"/>
  </w:num>
  <w:num w:numId="36">
    <w:abstractNumId w:val="11"/>
  </w:num>
  <w:num w:numId="37">
    <w:abstractNumId w:val="35"/>
  </w:num>
  <w:num w:numId="38">
    <w:abstractNumId w:val="0"/>
  </w:num>
  <w:num w:numId="3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105959"/>
    <w:rsid w:val="00120B18"/>
    <w:rsid w:val="001302A1"/>
    <w:rsid w:val="00151B60"/>
    <w:rsid w:val="0015431E"/>
    <w:rsid w:val="00165C21"/>
    <w:rsid w:val="00177ACE"/>
    <w:rsid w:val="00186BFE"/>
    <w:rsid w:val="001B5F92"/>
    <w:rsid w:val="001D7DA2"/>
    <w:rsid w:val="001E2B0C"/>
    <w:rsid w:val="001F1DAB"/>
    <w:rsid w:val="001F79A4"/>
    <w:rsid w:val="0021260E"/>
    <w:rsid w:val="0022247C"/>
    <w:rsid w:val="00233195"/>
    <w:rsid w:val="0024402A"/>
    <w:rsid w:val="00293D26"/>
    <w:rsid w:val="002B04DE"/>
    <w:rsid w:val="002C1488"/>
    <w:rsid w:val="002C7194"/>
    <w:rsid w:val="002D47B4"/>
    <w:rsid w:val="002E031C"/>
    <w:rsid w:val="002E1238"/>
    <w:rsid w:val="003206FE"/>
    <w:rsid w:val="00337E63"/>
    <w:rsid w:val="003734A3"/>
    <w:rsid w:val="003E27C3"/>
    <w:rsid w:val="003E4532"/>
    <w:rsid w:val="003F35E0"/>
    <w:rsid w:val="003F4D9C"/>
    <w:rsid w:val="004124B8"/>
    <w:rsid w:val="00416737"/>
    <w:rsid w:val="0042224B"/>
    <w:rsid w:val="00447ACC"/>
    <w:rsid w:val="00491689"/>
    <w:rsid w:val="004A52EE"/>
    <w:rsid w:val="004B3034"/>
    <w:rsid w:val="004F2E19"/>
    <w:rsid w:val="004F7D23"/>
    <w:rsid w:val="0053724F"/>
    <w:rsid w:val="00541CDC"/>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641E5"/>
    <w:rsid w:val="008730E7"/>
    <w:rsid w:val="008C2881"/>
    <w:rsid w:val="008C64E2"/>
    <w:rsid w:val="008F21D6"/>
    <w:rsid w:val="00912536"/>
    <w:rsid w:val="00966DF6"/>
    <w:rsid w:val="009C5157"/>
    <w:rsid w:val="009E0E40"/>
    <w:rsid w:val="009E1C72"/>
    <w:rsid w:val="009E3B2C"/>
    <w:rsid w:val="009F5717"/>
    <w:rsid w:val="00A0492B"/>
    <w:rsid w:val="00A054B3"/>
    <w:rsid w:val="00A247E7"/>
    <w:rsid w:val="00A374D8"/>
    <w:rsid w:val="00AA54B7"/>
    <w:rsid w:val="00AD29CD"/>
    <w:rsid w:val="00AE1DFE"/>
    <w:rsid w:val="00AE53C7"/>
    <w:rsid w:val="00B1131D"/>
    <w:rsid w:val="00B1667E"/>
    <w:rsid w:val="00B57F96"/>
    <w:rsid w:val="00B87B8E"/>
    <w:rsid w:val="00B92F7A"/>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A456E"/>
    <w:rsid w:val="00DA649E"/>
    <w:rsid w:val="00DF7D6C"/>
    <w:rsid w:val="00E27CC1"/>
    <w:rsid w:val="00E30A38"/>
    <w:rsid w:val="00E5200E"/>
    <w:rsid w:val="00E55F7C"/>
    <w:rsid w:val="00E63DE5"/>
    <w:rsid w:val="00EC1DB2"/>
    <w:rsid w:val="00EC5F83"/>
    <w:rsid w:val="00ED52CF"/>
    <w:rsid w:val="00EE0A0C"/>
    <w:rsid w:val="00F0516C"/>
    <w:rsid w:val="00F207EA"/>
    <w:rsid w:val="00F25924"/>
    <w:rsid w:val="00F308FE"/>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0DD3-E2F8-4AED-9B11-3672FC5F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38</Pages>
  <Words>11427</Words>
  <Characters>66283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7</cp:revision>
  <dcterms:created xsi:type="dcterms:W3CDTF">2017-08-23T07:07:00Z</dcterms:created>
  <dcterms:modified xsi:type="dcterms:W3CDTF">2017-08-25T13:53:00Z</dcterms:modified>
</cp:coreProperties>
</file>